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the philosophical foundations of and key contributors to existentialism and symbolism.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transition from still photography into motion pictures, including key technological innovations and social significance.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Identify the key socio-economic transitions/systems of the early 20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century.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Analyze the impacts of socio-economic transitions on emerging art movements of the early 20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century.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the relationships between emerging communication technologies of the 20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century and issues of media censorship.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