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Module Four:  The Middle Ages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this module, let’s explore the history, politics, and life of folks in various European locations during the Middle Ages. Here are our activities for this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Read linked materials.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z w:val="24"/>
          <w:szCs w:val="24"/>
          <w:rtl w:val="0"/>
        </w:rPr>
        <w:t xml:space="preserve">Learning Materials: </w:t>
      </w:r>
      <w:hyperlink r:id="rId6">
        <w:r w:rsidDel="00000000" w:rsidR="00000000" w:rsidRPr="00000000">
          <w:rPr>
            <w:rFonts w:ascii="Cambria" w:cs="Cambria" w:eastAsia="Cambria" w:hAnsi="Cambria"/>
            <w:color w:val="1155cc"/>
            <w:sz w:val="24"/>
            <w:szCs w:val="24"/>
            <w:u w:val="single"/>
            <w:rtl w:val="0"/>
          </w:rPr>
          <w:t xml:space="preserve">https://drive.google.com/?tab=mo&amp;authuser=0#folders/0B-E6RGOU0UlPQ1JmVllhdEs1Sjg</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6: Discuss the role of the church in medieval European life. Is there a modern-day example of a group or entity in a society which serves a similar function?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Describe the benefits and drawbacks of the level of involvement in daily life and politics the medieval church demonstrated.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7: Compare and contrast life in medieval Europe versus ancient Greece. Consider politics, education, religion, and other elements of culture and living.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Discuss some of the similarities and differences between how the medievals and the Greeks investigated philosophy.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Face-to-face Challenge Activity:  Divide students into team of 4-6.  Instruct each team to create a 2-3 minute skit about Medieval Life.  All team members must participate in some way, either as actors, props, or narrators.  At the end of the activity, each team performs their skit for the rest of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 Weekly Reflection: Using this week’s explorations of the Crusades and the Spanish Inquisition, write a 1-page reflection comparing and contrasting medieval “holy wars” to modern-day military occupations and conflicts.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rFonts w:ascii="Cambria" w:cs="Cambria" w:eastAsia="Cambria" w:hAnsi="Cambria"/>
          <w:sz w:val="24"/>
          <w:szCs w:val="24"/>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libri" w:cs="Calibri" w:eastAsia="Calibri" w:hAnsi="Calibri"/>
          <w:sz w:val="16"/>
          <w:szCs w:val="16"/>
          <w:rtl w:val="0"/>
        </w:rPr>
        <w:t xml:space="preserve">Unless otherwise specified, this work by the</w:t>
      </w:r>
      <w:hyperlink r:id="rId8">
        <w:r w:rsidDel="00000000" w:rsidR="00000000" w:rsidRPr="00000000">
          <w:rPr>
            <w:rFonts w:ascii="Calibri" w:cs="Calibri" w:eastAsia="Calibri" w:hAnsi="Calibri"/>
            <w:sz w:val="16"/>
            <w:szCs w:val="16"/>
            <w:u w:val="single"/>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sz w:val="16"/>
            <w:szCs w:val="16"/>
            <w:u w:val="single"/>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2">
        <w:r w:rsidDel="00000000" w:rsidR="00000000" w:rsidRPr="00000000">
          <w:rPr>
            <w:rFonts w:ascii="Calibri" w:cs="Calibri" w:eastAsia="Calibri" w:hAnsi="Calibri"/>
            <w:sz w:val="16"/>
            <w:szCs w:val="16"/>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4">
        <w:r w:rsidDel="00000000" w:rsidR="00000000" w:rsidRPr="00000000">
          <w:rPr>
            <w:rFonts w:ascii="Calibri" w:cs="Calibri" w:eastAsia="Calibri" w:hAnsi="Calibri"/>
            <w:sz w:val="16"/>
            <w:szCs w:val="16"/>
            <w:u w:val="single"/>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2">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3">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4">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0" Type="http://schemas.openxmlformats.org/officeDocument/2006/relationships/hyperlink" Target="http://creativecommons.org/licenses/by/3.0/" TargetMode="External"/><Relationship Id="rId13" Type="http://schemas.openxmlformats.org/officeDocument/2006/relationships/hyperlink" Target="http://opencourselibrary.org/"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ctc.edu/" TargetMode="External"/><Relationship Id="rId15" Type="http://schemas.openxmlformats.org/officeDocument/2006/relationships/hyperlink" Target="http://www.gatesfoundation.org/postsecondaryeducation/Pages/default.aspx"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hyperlink" Target="https://drive.google.com/?tab=mo&amp;authuser=0#folders/0B-E6RGOU0UlPQ1JmVllhdEs1Sjg" TargetMode="External"/><Relationship Id="rId7" Type="http://schemas.openxmlformats.org/officeDocument/2006/relationships/image" Target="media/image2.png"/><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