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the key events of the Catholic Church’s Counter-Reformation of the 1500’s and 1600’s.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Compare and contrast the core elements of Catholic versus Protestant Baroque by examining key regions in the European world.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key advances in musical theory, composition, and performance demonstrated by Baroque musicians through examining the works of selected composers.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lifestyle, religion, and politics of 17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century Netherlands provinces.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the methods and works of at least 3 key artists of the Baroque period.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