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Module04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following article about the Bubonic Plague: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http://www.telegraph.co.uk/science/science-news/8823748/Black-death-DNA-unravelled.html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telegraph.co.uk/science/science-news/8823748/Black-death-DNA-unravelled.html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